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1" w:rsidRPr="00AB7E81" w:rsidRDefault="00AB7E81" w:rsidP="00AB7E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7E81">
        <w:rPr>
          <w:rFonts w:ascii="Calibri" w:eastAsia="Times New Roman" w:hAnsi="Calibri" w:cs="Calibri"/>
          <w:sz w:val="24"/>
          <w:szCs w:val="24"/>
        </w:rPr>
        <w:t>Nabavka i  isporuka sa montažom</w:t>
      </w:r>
      <w:r w:rsidRPr="00AB7E8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A31AFD">
        <w:rPr>
          <w:rFonts w:ascii="Calibri" w:eastAsia="Times New Roman" w:hAnsi="Calibri" w:cs="Calibri"/>
          <w:bCs/>
          <w:sz w:val="24"/>
          <w:szCs w:val="24"/>
        </w:rPr>
        <w:t>homogene PVC podne</w:t>
      </w:r>
      <w:r w:rsidRPr="00AB7E8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A31AFD">
        <w:rPr>
          <w:rFonts w:ascii="Calibri" w:eastAsia="Times New Roman" w:hAnsi="Calibri" w:cs="Calibri"/>
          <w:bCs/>
          <w:sz w:val="24"/>
          <w:szCs w:val="24"/>
        </w:rPr>
        <w:t>obloge</w:t>
      </w:r>
      <w:r w:rsidR="00A31AFD">
        <w:rPr>
          <w:rFonts w:ascii="Calibri" w:eastAsia="Times New Roman" w:hAnsi="Calibri" w:cs="Calibri"/>
          <w:b/>
          <w:bCs/>
          <w:sz w:val="24"/>
          <w:szCs w:val="24"/>
        </w:rPr>
        <w:t xml:space="preserve"> MiPOLAM CLASSIC</w:t>
      </w:r>
      <w:bookmarkStart w:id="0" w:name="_GoBack"/>
      <w:bookmarkEnd w:id="0"/>
      <w:r w:rsidRPr="00AB7E81">
        <w:rPr>
          <w:rFonts w:ascii="Calibri" w:eastAsia="Times New Roman" w:hAnsi="Calibri" w:cs="Calibri"/>
          <w:b/>
          <w:bCs/>
          <w:sz w:val="24"/>
          <w:szCs w:val="24"/>
        </w:rPr>
        <w:t xml:space="preserve"> Gerfloor</w:t>
      </w:r>
      <w:r w:rsidRPr="00AB7E81">
        <w:rPr>
          <w:rFonts w:ascii="Calibri" w:eastAsia="Times New Roman" w:hAnsi="Calibri" w:cs="Calibri"/>
          <w:sz w:val="24"/>
          <w:szCs w:val="24"/>
        </w:rPr>
        <w:t xml:space="preserve"> koja podrazumeva predhodnu obradu poda ,cišćenje,nanošenje prajmera i izlivanje samonivelišuće,ravnajuće mase nakon cega se lepi PVC pod celom površinom odgovarajućim lepkom u zavisnosti od vrste podne obloge i poda.Sastavi podne obloge se spajaju varom elektrodama (weldingom) u približnim ili istim bojama.</w:t>
      </w:r>
      <w:r w:rsidRPr="00AB7E81">
        <w:rPr>
          <w:rFonts w:ascii="Calibri" w:eastAsia="Times New Roman" w:hAnsi="Calibri" w:cs="Calibri"/>
          <w:b/>
          <w:bCs/>
          <w:sz w:val="24"/>
          <w:szCs w:val="24"/>
        </w:rPr>
        <w:t>MIOPALM CLASSIC</w:t>
      </w:r>
      <w:r w:rsidRPr="00AB7E81">
        <w:rPr>
          <w:rFonts w:ascii="Calibri" w:eastAsia="Times New Roman" w:hAnsi="Calibri" w:cs="Calibri"/>
          <w:sz w:val="24"/>
          <w:szCs w:val="24"/>
        </w:rPr>
        <w:t xml:space="preserve">  je otporan na habanja i kidanja u podrucjima sa velikim prometom,ima antibakterijske i antifungicidne karakteristike.Proizvod je  100%  reciklirajuci.Povrsinski je obradjen poliuretanom PUR sto ga cini lakim za odrzavanje i ne zahteva dodatno nanosenje bilo kakve emulzije tokom zivotnog veka proizvoda.U svojoj paleti ima 18 dezena.                                                                                                                                                                                             </w:t>
      </w:r>
      <w:r w:rsidRPr="00AB7E81">
        <w:rPr>
          <w:rFonts w:ascii="Calibri" w:eastAsia="Times New Roman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- </w:t>
      </w:r>
    </w:p>
    <w:p w:rsidR="00E13E93" w:rsidRDefault="00E13E93"/>
    <w:p w:rsidR="00AB7E81" w:rsidRPr="00AB7E81" w:rsidRDefault="00AB7E81" w:rsidP="00AB7E8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AB7E81">
        <w:rPr>
          <w:rFonts w:ascii="Calibri" w:eastAsia="Times New Roman" w:hAnsi="Calibri" w:cs="Calibri"/>
          <w:sz w:val="24"/>
          <w:szCs w:val="24"/>
        </w:rPr>
        <w:t xml:space="preserve">    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rolna duzine 20 m, širine 2 m, debljine 2 mm</w:t>
      </w:r>
      <w:r w:rsidRPr="00AB7E81">
        <w:rPr>
          <w:rFonts w:ascii="Calibri" w:eastAsia="Times New Roman" w:hAnsi="Calibri" w:cs="Calibri"/>
          <w:sz w:val="24"/>
          <w:szCs w:val="24"/>
        </w:rPr>
        <w:br/>
        <w:t xml:space="preserve">• ukupna težina: 3300 g/m2 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ploce dimenzija 30x30cm u pakovanju 50 komada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ploce dimenzija 60,8x60,8cm u pakovanju 20 komada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klasifikacija : 34-43</w:t>
      </w:r>
      <w:r w:rsidRPr="00AB7E81">
        <w:rPr>
          <w:rFonts w:ascii="Calibri" w:eastAsia="Times New Roman" w:hAnsi="Calibri" w:cs="Calibri"/>
          <w:sz w:val="24"/>
          <w:szCs w:val="24"/>
        </w:rPr>
        <w:br/>
        <w:t xml:space="preserve">• vatrootpornost  EN 13501-1:2010: Bfl-s1 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sklonost prema statičkom elektricitetu  EN 1815:2004: &lt; 2 kV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zaostalo ulegnuće EN ISO 24343-1: ≈ 0.03mm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toplinska provodljivost prema  EN ISO 10456:2008 – 0,25 W/(m.K)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postojanost boja prema  EN ISO 105-B02:2014: ≥ 6 stepeni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otpornost na hemijske proizvode  EN ISO 26987:2013: dobra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otpornost na abraziju prema  EN 660-2:2003: £ 7,5 mm3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sadržaj punila EN ISO 10581 : tip II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zvucna izolacija od udarca : 4dB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ukupna emisija lako isparljivih jedinjenja (TVOC) nakon 28 dana  ISO 16000-6:2014: &lt; 10 ųg/m3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sertifikat Floorscore®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zaštitni tretman PUR</w:t>
      </w:r>
      <w:r w:rsidRPr="00AB7E81">
        <w:rPr>
          <w:rFonts w:ascii="Calibri" w:eastAsia="Times New Roman" w:hAnsi="Calibri" w:cs="Calibri"/>
          <w:sz w:val="24"/>
          <w:szCs w:val="24"/>
        </w:rPr>
        <w:br/>
        <w:t xml:space="preserve">• potpuno zalepljena lepkom prema preporuci proizvođača lepka </w:t>
      </w:r>
      <w:r w:rsidRPr="00AB7E81">
        <w:rPr>
          <w:rFonts w:ascii="Calibri" w:eastAsia="Times New Roman" w:hAnsi="Calibri" w:cs="Calibri"/>
          <w:sz w:val="24"/>
          <w:szCs w:val="24"/>
        </w:rPr>
        <w:br/>
        <w:t>• rubovi traka ili ploča krojeni i rezani za toplo varenje elektrodom u boji po izboru projektanta</w:t>
      </w:r>
      <w:r w:rsidRPr="00AB7E81">
        <w:rPr>
          <w:rFonts w:ascii="Calibri" w:eastAsia="Times New Roman" w:hAnsi="Calibri" w:cs="Calibri"/>
          <w:sz w:val="24"/>
          <w:szCs w:val="24"/>
        </w:rPr>
        <w:br/>
        <w:t>polaganje od strane ovlašćenog instalatera</w:t>
      </w:r>
      <w:r w:rsidRPr="00AB7E81">
        <w:rPr>
          <w:rFonts w:ascii="Calibri" w:eastAsia="Times New Roman" w:hAnsi="Calibri" w:cs="Calibri"/>
          <w:sz w:val="24"/>
          <w:szCs w:val="24"/>
        </w:rPr>
        <w:br/>
      </w:r>
    </w:p>
    <w:p w:rsidR="00AB7E81" w:rsidRPr="00AB7E81" w:rsidRDefault="00AB7E81" w:rsidP="00AB7E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B7E81">
        <w:rPr>
          <w:rFonts w:ascii="Calibri" w:eastAsia="Times New Roman" w:hAnsi="Calibri" w:cs="Calibri"/>
          <w:sz w:val="24"/>
          <w:szCs w:val="24"/>
        </w:rPr>
        <w:t>Obračun po m2 izvedene površine poda sa obračunatim holkerima i završnom lajsnom(kapicom).</w:t>
      </w:r>
    </w:p>
    <w:p w:rsidR="00AB7E81" w:rsidRDefault="00AB7E81"/>
    <w:sectPr w:rsidR="00AB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81"/>
    <w:rsid w:val="00A31AFD"/>
    <w:rsid w:val="00AB7E81"/>
    <w:rsid w:val="00E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BC6D2-85E0-4A00-B598-A7B4BBE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2022-03-31T12:13:00Z</dcterms:created>
  <dcterms:modified xsi:type="dcterms:W3CDTF">2022-04-04T10:07:00Z</dcterms:modified>
</cp:coreProperties>
</file>